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hint="default" w:eastAsia="黑体"/>
                <w:color w:val="00000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  <w:lang w:val="en-US" w:eastAsia="zh-CN"/>
              </w:rPr>
              <w:t>违背方案报告</w:t>
            </w: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2020CA2"/>
    <w:rsid w:val="144845F7"/>
    <w:rsid w:val="1C4A7EE9"/>
    <w:rsid w:val="213A3957"/>
    <w:rsid w:val="219331D9"/>
    <w:rsid w:val="524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0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2024-01-24T06:20:22Z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